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9A" w:rsidRDefault="00C1469A">
      <w:pPr>
        <w:keepNext/>
        <w:jc w:val="center"/>
        <w:rPr>
          <w:b/>
          <w:bCs/>
          <w:color w:val="000000"/>
          <w:sz w:val="28"/>
          <w:szCs w:val="28"/>
        </w:rPr>
      </w:pPr>
      <w:r>
        <w:rPr>
          <w:color w:val="000000"/>
          <w:sz w:val="28"/>
          <w:szCs w:val="28"/>
        </w:rPr>
        <w:t xml:space="preserve">The </w:t>
      </w:r>
      <w:hyperlink r:id="rId6" w:history="1">
        <w:r>
          <w:rPr>
            <w:color w:val="000000"/>
            <w:sz w:val="28"/>
            <w:szCs w:val="28"/>
            <w:u w:val="single"/>
          </w:rPr>
          <w:t>WHO</w:t>
        </w:r>
      </w:hyperlink>
      <w:r>
        <w:rPr>
          <w:color w:val="000000"/>
          <w:sz w:val="28"/>
          <w:szCs w:val="28"/>
        </w:rPr>
        <w:t xml:space="preserve"> - </w:t>
      </w:r>
      <w:hyperlink r:id="rId7" w:history="1">
        <w:r>
          <w:rPr>
            <w:color w:val="000000"/>
            <w:sz w:val="28"/>
            <w:szCs w:val="28"/>
            <w:u w:val="single"/>
          </w:rPr>
          <w:t>WHAT</w:t>
        </w:r>
      </w:hyperlink>
      <w:r>
        <w:rPr>
          <w:color w:val="000000"/>
          <w:sz w:val="28"/>
          <w:szCs w:val="28"/>
        </w:rPr>
        <w:t xml:space="preserve"> - </w:t>
      </w:r>
      <w:hyperlink r:id="rId8" w:history="1">
        <w:r>
          <w:rPr>
            <w:color w:val="000000"/>
            <w:sz w:val="28"/>
            <w:szCs w:val="28"/>
            <w:u w:val="single"/>
          </w:rPr>
          <w:t>WHEN</w:t>
        </w:r>
      </w:hyperlink>
      <w:r>
        <w:rPr>
          <w:color w:val="000000"/>
          <w:sz w:val="28"/>
          <w:szCs w:val="28"/>
        </w:rPr>
        <w:t xml:space="preserve"> - </w:t>
      </w:r>
      <w:hyperlink r:id="rId9" w:history="1">
        <w:r>
          <w:rPr>
            <w:color w:val="000000"/>
            <w:sz w:val="28"/>
            <w:szCs w:val="28"/>
            <w:u w:val="single"/>
          </w:rPr>
          <w:t>WHY</w:t>
        </w:r>
      </w:hyperlink>
      <w:r>
        <w:rPr>
          <w:color w:val="000000"/>
          <w:sz w:val="28"/>
          <w:szCs w:val="28"/>
        </w:rPr>
        <w:t xml:space="preserve"> &amp; </w:t>
      </w:r>
      <w:hyperlink r:id="rId10" w:history="1">
        <w:r>
          <w:rPr>
            <w:color w:val="000000"/>
            <w:sz w:val="28"/>
            <w:szCs w:val="28"/>
            <w:u w:val="single"/>
          </w:rPr>
          <w:t>HOW</w:t>
        </w:r>
      </w:hyperlink>
      <w:r>
        <w:rPr>
          <w:color w:val="000000"/>
          <w:sz w:val="28"/>
          <w:szCs w:val="28"/>
        </w:rPr>
        <w:t xml:space="preserve"> of the</w:t>
      </w:r>
      <w:r>
        <w:rPr>
          <w:color w:val="000000"/>
          <w:sz w:val="28"/>
          <w:szCs w:val="28"/>
        </w:rPr>
        <w:br/>
      </w:r>
      <w:r>
        <w:rPr>
          <w:b/>
          <w:bCs/>
          <w:i/>
          <w:iCs/>
          <w:color w:val="000000"/>
          <w:sz w:val="40"/>
          <w:szCs w:val="40"/>
        </w:rPr>
        <w:t>ISBPA Grand Prix Fall Youth League Scholarship Fund</w:t>
      </w:r>
      <w:r>
        <w:rPr>
          <w:b/>
          <w:bCs/>
          <w:i/>
          <w:iCs/>
          <w:color w:val="000000"/>
          <w:sz w:val="40"/>
          <w:szCs w:val="40"/>
        </w:rPr>
        <w:br/>
      </w:r>
      <w:r>
        <w:rPr>
          <w:b/>
          <w:bCs/>
          <w:i/>
          <w:iCs/>
          <w:color w:val="000000"/>
          <w:sz w:val="24"/>
          <w:szCs w:val="24"/>
        </w:rPr>
        <w:t>(Illinois State Bowling Proprietors Association)</w:t>
      </w:r>
    </w:p>
    <w:p w:rsidR="00C1469A" w:rsidRDefault="00C1469A">
      <w:pPr>
        <w:rPr>
          <w:sz w:val="22"/>
          <w:szCs w:val="22"/>
        </w:rPr>
      </w:pPr>
      <w:r>
        <w:rPr>
          <w:sz w:val="28"/>
          <w:szCs w:val="28"/>
        </w:rPr>
        <w:br/>
      </w:r>
      <w:r>
        <w:rPr>
          <w:sz w:val="22"/>
          <w:szCs w:val="22"/>
        </w:rPr>
        <w:t>This brief introduction to the Illinois State Bowling Proprietors Associations Grand Prix Scholarship Program is intended to apprise you of some of the details of this exciting youth scholarship program which is available to all ISBPA member establishments.</w:t>
      </w:r>
    </w:p>
    <w:p w:rsidR="00C1469A" w:rsidRDefault="00C1469A">
      <w:pPr>
        <w:rPr>
          <w:sz w:val="22"/>
          <w:szCs w:val="22"/>
        </w:rPr>
      </w:pPr>
    </w:p>
    <w:p w:rsidR="00C1469A" w:rsidRDefault="00C1469A">
      <w:pPr>
        <w:rPr>
          <w:sz w:val="22"/>
          <w:szCs w:val="22"/>
        </w:rPr>
      </w:pPr>
      <w:r>
        <w:rPr>
          <w:b/>
          <w:bCs/>
          <w:sz w:val="22"/>
          <w:szCs w:val="22"/>
          <w:u w:val="single"/>
        </w:rPr>
        <w:t>WHO ?</w:t>
      </w:r>
      <w:r>
        <w:rPr>
          <w:sz w:val="22"/>
          <w:szCs w:val="22"/>
        </w:rPr>
        <w:br/>
        <w:t>Every youth in the state of Illinois can earn ISBPA Grand Prix Scholarship Dollars by bowling in an ISBPA member establishment. This scholarship program rewards participation unlike most that tend to reward size, speed or skill. Since every youth bowler in Illinois is eligible to enroll and participate in this Grand Prix Scholarship Program.... it's truly a program where EVERYONE IS A WINNER. The YOUTH. the PARENTS. and the PROPRIETORS!</w:t>
      </w:r>
    </w:p>
    <w:p w:rsidR="00C1469A" w:rsidRDefault="00C1469A">
      <w:pPr>
        <w:rPr>
          <w:sz w:val="22"/>
          <w:szCs w:val="22"/>
        </w:rPr>
      </w:pPr>
    </w:p>
    <w:p w:rsidR="00C1469A" w:rsidRDefault="00C1469A">
      <w:pPr>
        <w:rPr>
          <w:sz w:val="22"/>
          <w:szCs w:val="22"/>
        </w:rPr>
      </w:pPr>
      <w:r>
        <w:rPr>
          <w:b/>
          <w:bCs/>
          <w:sz w:val="22"/>
          <w:szCs w:val="22"/>
          <w:u w:val="single"/>
        </w:rPr>
        <w:t>WHAT ?</w:t>
      </w:r>
      <w:r>
        <w:rPr>
          <w:sz w:val="22"/>
          <w:szCs w:val="22"/>
          <w:u w:val="single"/>
        </w:rPr>
        <w:br/>
      </w:r>
      <w:r>
        <w:rPr>
          <w:sz w:val="22"/>
          <w:szCs w:val="22"/>
        </w:rPr>
        <w:t>This scholarship program is an exclusive activity conducted in ISBPA member bowling centers and is open to all youth bowlers that have not graduated from high school. Pre-school youths are considered eligible to participate. Enrolled youth bowlers accumulate point's in their local bowling center, local and state programs such as league bowling and other related bowling activities. Each year the points are converted into Grand Prix Scholarship Dollars and are credited under the youth bowler's name until they graduate from high school. The more bowling activities a youth participated in each year, the more points (Scholarship Dollars) will be earned and credited to the individual youth's account.</w:t>
      </w:r>
    </w:p>
    <w:p w:rsidR="00C1469A" w:rsidRDefault="00C1469A">
      <w:pPr>
        <w:rPr>
          <w:sz w:val="22"/>
          <w:szCs w:val="22"/>
        </w:rPr>
      </w:pPr>
    </w:p>
    <w:p w:rsidR="00C1469A" w:rsidRDefault="00C1469A">
      <w:pPr>
        <w:rPr>
          <w:sz w:val="22"/>
          <w:szCs w:val="22"/>
        </w:rPr>
      </w:pPr>
      <w:r>
        <w:rPr>
          <w:b/>
          <w:bCs/>
          <w:sz w:val="22"/>
          <w:szCs w:val="22"/>
          <w:u w:val="single"/>
        </w:rPr>
        <w:t>WHEN ?</w:t>
      </w:r>
      <w:r>
        <w:rPr>
          <w:sz w:val="22"/>
          <w:szCs w:val="22"/>
        </w:rPr>
        <w:br/>
        <w:t xml:space="preserve">In order to get started in the program, a youth bowler must apply for registration in the program at a participating ISBPA member center. The annual registration fee is $3.00 per youth. </w:t>
      </w:r>
      <w:r>
        <w:rPr>
          <w:b/>
          <w:bCs/>
          <w:sz w:val="22"/>
          <w:szCs w:val="22"/>
          <w:u w:val="single"/>
        </w:rPr>
        <w:t>To remain eligible, the youth bowler must remain in a local youth bowling program each year until they graduate from high school.</w:t>
      </w:r>
      <w:r>
        <w:rPr>
          <w:sz w:val="22"/>
          <w:szCs w:val="22"/>
        </w:rPr>
        <w:t xml:space="preserve"> When a youth bowler graduates from high school and enrolls in some kind of advanced education beyond the high school level such as a college, university, trade school, or a recognized institution of specialized training, the accumulated scholarship dollars are paid to the educational institution on behalf of the youth bowler. Enrollment must be within 24 months after graduation from high school.</w:t>
      </w:r>
    </w:p>
    <w:p w:rsidR="00C1469A" w:rsidRDefault="00C1469A">
      <w:pPr>
        <w:rPr>
          <w:b/>
          <w:bCs/>
          <w:sz w:val="22"/>
          <w:szCs w:val="22"/>
        </w:rPr>
      </w:pPr>
    </w:p>
    <w:p w:rsidR="00C1469A" w:rsidRDefault="00C1469A">
      <w:pPr>
        <w:rPr>
          <w:sz w:val="22"/>
          <w:szCs w:val="22"/>
        </w:rPr>
      </w:pPr>
      <w:r>
        <w:rPr>
          <w:b/>
          <w:bCs/>
          <w:sz w:val="22"/>
          <w:szCs w:val="22"/>
          <w:u w:val="single"/>
        </w:rPr>
        <w:t>WHY ?</w:t>
      </w:r>
      <w:r>
        <w:rPr>
          <w:sz w:val="22"/>
          <w:szCs w:val="22"/>
        </w:rPr>
        <w:br/>
        <w:t>Year in and year out bowling has the largest number of participants of any organized sport. Most athletic scholarships are awarded on the basis of performance, size and special skills. The Grand Prix Scholarship Program concept is based on participation. Bowling is a sport that is lifetime in nature and can be played year-round by boys, girls, men and women of all ages and physical attributes. In addition, the Grand Prix Scholarship Program is designed to keep youth bowlers in a bowling program throughout high school and beyond. It is a program that will provide community awareness and elevate the image of bowling among educators, parents and the general public.</w:t>
      </w:r>
    </w:p>
    <w:p w:rsidR="00C1469A" w:rsidRDefault="00C1469A">
      <w:pPr>
        <w:rPr>
          <w:b/>
          <w:bCs/>
          <w:sz w:val="22"/>
          <w:szCs w:val="22"/>
        </w:rPr>
      </w:pPr>
    </w:p>
    <w:p w:rsidR="00C1469A" w:rsidRDefault="00C1469A">
      <w:pPr>
        <w:rPr>
          <w:sz w:val="22"/>
          <w:szCs w:val="22"/>
        </w:rPr>
      </w:pPr>
      <w:r>
        <w:rPr>
          <w:b/>
          <w:bCs/>
          <w:sz w:val="22"/>
          <w:szCs w:val="22"/>
          <w:u w:val="single"/>
        </w:rPr>
        <w:t>HOW ?</w:t>
      </w:r>
      <w:r>
        <w:rPr>
          <w:sz w:val="22"/>
          <w:szCs w:val="22"/>
        </w:rPr>
        <w:br/>
        <w:t>In order to develop and maintain this as the largest scholarship fund in any sport, it will take the combined effort of every ISBPA proprietor on the local and state level. Statewide fund raising programs will be developed and conducted to fund the program. Corporate sponsors will be solicited to enhance the fund raising efforts. 100% of all funds raised will be returned to all registered youth bowlers in the form of Scholarship Dollars.</w:t>
      </w:r>
    </w:p>
    <w:p w:rsidR="00C1469A" w:rsidRDefault="00C1469A">
      <w:pPr>
        <w:rPr>
          <w:sz w:val="22"/>
          <w:szCs w:val="22"/>
        </w:rPr>
      </w:pPr>
    </w:p>
    <w:p w:rsidR="00C1469A" w:rsidRDefault="00C1469A">
      <w:pPr>
        <w:jc w:val="center"/>
        <w:rPr>
          <w:sz w:val="22"/>
          <w:szCs w:val="22"/>
          <w:u w:val="single"/>
        </w:rPr>
      </w:pPr>
      <w:r>
        <w:rPr>
          <w:b/>
          <w:bCs/>
          <w:sz w:val="22"/>
          <w:szCs w:val="22"/>
          <w:u w:val="single"/>
        </w:rPr>
        <w:t>EVERYONE IS A WINNER !</w:t>
      </w:r>
    </w:p>
    <w:p w:rsidR="00C1469A" w:rsidRDefault="00C1469A">
      <w:pPr>
        <w:rPr>
          <w:sz w:val="22"/>
          <w:szCs w:val="22"/>
        </w:rPr>
      </w:pPr>
      <w:r>
        <w:rPr>
          <w:sz w:val="22"/>
          <w:szCs w:val="22"/>
        </w:rPr>
        <w:t>We hope that this brief outline of the ISBPA Grand Prix Scholarship Program is enough to whet your appetite and get you excited about the opportunities that it will provide in the development and retention of youth bowling.</w:t>
      </w:r>
    </w:p>
    <w:sectPr w:rsidR="00C1469A" w:rsidSect="00C1469A">
      <w:headerReference w:type="default" r:id="rId11"/>
      <w:footerReference w:type="default" r:id="rId12"/>
      <w:pgSz w:w="12240" w:h="15840"/>
      <w:pgMar w:top="360" w:right="720" w:bottom="360" w:left="720" w:header="720" w:footer="864"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69A" w:rsidRDefault="00C1469A" w:rsidP="00C1469A">
      <w:r>
        <w:separator/>
      </w:r>
    </w:p>
  </w:endnote>
  <w:endnote w:type="continuationSeparator" w:id="0">
    <w:p w:rsidR="00C1469A" w:rsidRDefault="00C1469A" w:rsidP="00C146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69A" w:rsidRDefault="00C1469A">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69A" w:rsidRDefault="00C1469A" w:rsidP="00C1469A">
      <w:r>
        <w:separator/>
      </w:r>
    </w:p>
  </w:footnote>
  <w:footnote w:type="continuationSeparator" w:id="0">
    <w:p w:rsidR="00C1469A" w:rsidRDefault="00C1469A" w:rsidP="00C14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69A" w:rsidRDefault="00C1469A">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C1469A"/>
    <w:rsid w:val="00C146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20Whe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20\%20Wha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20Who"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20\%20How" TargetMode="External"/><Relationship Id="rId4" Type="http://schemas.openxmlformats.org/officeDocument/2006/relationships/footnotes" Target="footnotes.xml"/><Relationship Id="rId9" Type="http://schemas.openxmlformats.org/officeDocument/2006/relationships/hyperlink" Target="%20\%20Wh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